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楷体" w:hAnsi="楷体" w:eastAsia="楷体"/>
          <w:color w:val="auto"/>
          <w:kern w:val="0"/>
          <w:szCs w:val="21"/>
          <w:highlight w:val="none"/>
        </w:rPr>
      </w:pPr>
      <w:bookmarkStart w:id="0" w:name="_GoBack"/>
      <w:bookmarkEnd w:id="0"/>
      <w:r>
        <w:rPr>
          <w:rFonts w:hint="eastAsia" w:ascii="仿宋" w:hAnsi="仿宋" w:eastAsia="仿宋" w:cs="仿宋"/>
          <w:bCs/>
          <w:color w:val="auto"/>
          <w:kern w:val="0"/>
          <w:sz w:val="32"/>
          <w:szCs w:val="32"/>
          <w:highlight w:val="none"/>
        </w:rPr>
        <w:t>附件一：</w:t>
      </w:r>
    </w:p>
    <w:p>
      <w:pPr>
        <w:jc w:val="center"/>
        <w:rPr>
          <w:rFonts w:hint="default" w:ascii="黑体" w:hAnsi="黑体" w:eastAsia="黑体" w:cs="Times New Roman"/>
          <w:color w:val="auto"/>
          <w:sz w:val="36"/>
          <w:szCs w:val="36"/>
          <w:highlight w:val="none"/>
          <w:lang w:val="en-US" w:eastAsia="zh-CN"/>
        </w:rPr>
      </w:pPr>
      <w:r>
        <w:rPr>
          <w:rFonts w:hint="eastAsia" w:ascii="黑体" w:hAnsi="黑体" w:eastAsia="黑体" w:cs="Times New Roman"/>
          <w:color w:val="auto"/>
          <w:sz w:val="36"/>
          <w:szCs w:val="36"/>
          <w:highlight w:val="none"/>
        </w:rPr>
        <w:t>辽宁省大学生生态环保作品竞赛</w:t>
      </w:r>
      <w:r>
        <w:rPr>
          <w:rFonts w:hint="eastAsia" w:ascii="黑体" w:hAnsi="黑体" w:eastAsia="黑体" w:cs="Times New Roman"/>
          <w:color w:val="auto"/>
          <w:sz w:val="36"/>
          <w:szCs w:val="36"/>
          <w:highlight w:val="none"/>
          <w:lang w:val="en-US" w:eastAsia="zh-CN"/>
        </w:rPr>
        <w:t>评审</w:t>
      </w:r>
      <w:r>
        <w:rPr>
          <w:rFonts w:hint="eastAsia" w:ascii="黑体" w:hAnsi="黑体" w:eastAsia="黑体" w:cs="Times New Roman"/>
          <w:color w:val="auto"/>
          <w:sz w:val="36"/>
          <w:szCs w:val="36"/>
          <w:highlight w:val="none"/>
        </w:rPr>
        <w:t>规则</w:t>
      </w:r>
      <w:r>
        <w:rPr>
          <w:rFonts w:hint="eastAsia" w:ascii="黑体" w:hAnsi="黑体" w:eastAsia="黑体" w:cs="Times New Roman"/>
          <w:color w:val="auto"/>
          <w:sz w:val="36"/>
          <w:szCs w:val="36"/>
          <w:highlight w:val="none"/>
          <w:lang w:val="en-US" w:eastAsia="zh-CN"/>
        </w:rPr>
        <w:t>及要求</w:t>
      </w:r>
    </w:p>
    <w:p>
      <w:pPr>
        <w:widowControl/>
        <w:spacing w:line="560" w:lineRule="atLeast"/>
        <w:rPr>
          <w:rFonts w:ascii="黑体" w:hAnsi="黑体" w:eastAsia="黑体" w:cs="黑体"/>
          <w:color w:val="auto"/>
          <w:kern w:val="0"/>
          <w:sz w:val="32"/>
          <w:szCs w:val="32"/>
          <w:highlight w:val="none"/>
        </w:rPr>
      </w:pPr>
    </w:p>
    <w:p>
      <w:pPr>
        <w:widowControl/>
        <w:rPr>
          <w:rFonts w:ascii="楷体" w:hAnsi="楷体" w:eastAsia="楷体"/>
          <w:b/>
          <w:bCs/>
          <w:color w:val="auto"/>
          <w:sz w:val="28"/>
          <w:szCs w:val="28"/>
          <w:highlight w:val="none"/>
        </w:rPr>
      </w:pPr>
      <w:r>
        <w:rPr>
          <w:rFonts w:hint="eastAsia" w:ascii="黑体" w:hAnsi="黑体" w:eastAsia="黑体" w:cs="黑体"/>
          <w:color w:val="auto"/>
          <w:kern w:val="0"/>
          <w:sz w:val="28"/>
          <w:szCs w:val="28"/>
          <w:highlight w:val="none"/>
        </w:rPr>
        <w:t>一、评审规则</w:t>
      </w:r>
    </w:p>
    <w:p>
      <w:pPr>
        <w:widowControl/>
        <w:jc w:val="left"/>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1、毕业论文/毕业设计、调研报告、创业计划比赛规则</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（1）陈述：选手结合PPT对参赛进行演讲，时间为5分钟。在PPT演讲剩余1分钟时有工作人员举牌示意。时间结束，立即停止演讲。</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（2）专家提问：由评委针对参赛作品进行现场提问，时间为</w:t>
      </w:r>
      <w:r>
        <w:rPr>
          <w:rFonts w:ascii="仿宋" w:hAnsi="仿宋" w:eastAsia="仿宋" w:cs="仿宋"/>
          <w:bCs/>
          <w:color w:val="auto"/>
          <w:kern w:val="0"/>
          <w:sz w:val="28"/>
          <w:szCs w:val="28"/>
          <w:highlight w:val="none"/>
        </w:rPr>
        <w:t>5</w:t>
      </w:r>
      <w:r>
        <w:rPr>
          <w:rFonts w:hint="eastAsia" w:ascii="仿宋" w:hAnsi="仿宋" w:eastAsia="仿宋" w:cs="仿宋"/>
          <w:bCs/>
          <w:color w:val="auto"/>
          <w:kern w:val="0"/>
          <w:sz w:val="28"/>
          <w:szCs w:val="28"/>
          <w:highlight w:val="none"/>
        </w:rPr>
        <w:t>分钟。</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评委会宣读比赛成绩。</w:t>
      </w:r>
    </w:p>
    <w:p>
      <w:pPr>
        <w:widowControl/>
        <w:ind w:firstLine="560" w:firstLineChars="200"/>
        <w:jc w:val="left"/>
        <w:rPr>
          <w:rFonts w:ascii="楷体" w:hAnsi="楷体" w:eastAsia="楷体"/>
          <w:color w:val="auto"/>
          <w:sz w:val="28"/>
          <w:szCs w:val="28"/>
          <w:highlight w:val="none"/>
        </w:rPr>
      </w:pPr>
      <w:r>
        <w:rPr>
          <w:rFonts w:hint="eastAsia" w:ascii="仿宋" w:hAnsi="仿宋" w:eastAsia="仿宋" w:cs="仿宋"/>
          <w:bCs/>
          <w:color w:val="auto"/>
          <w:kern w:val="0"/>
          <w:sz w:val="28"/>
          <w:szCs w:val="28"/>
          <w:highlight w:val="none"/>
        </w:rPr>
        <w:t>注意事项：各参赛者必须提前半小时到场，抽取比赛顺序；比赛环节均由主持人协调控制时间，参赛者严格按照比赛规定进行。</w:t>
      </w:r>
    </w:p>
    <w:p>
      <w:pPr>
        <w:widowControl/>
        <w:numPr>
          <w:ilvl w:val="0"/>
          <w:numId w:val="1"/>
        </w:num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环保知识竞赛规则</w:t>
      </w:r>
    </w:p>
    <w:p>
      <w:pPr>
        <w:widowControl/>
        <w:numPr>
          <w:ilvl w:val="0"/>
          <w:numId w:val="0"/>
        </w:numPr>
        <w:jc w:val="left"/>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val="en-US" w:eastAsia="zh-CN"/>
        </w:rPr>
        <w:t xml:space="preserve">2.1 </w:t>
      </w:r>
      <w:r>
        <w:rPr>
          <w:rFonts w:hint="eastAsia" w:ascii="仿宋" w:hAnsi="仿宋" w:eastAsia="仿宋" w:cs="仿宋"/>
          <w:b/>
          <w:color w:val="auto"/>
          <w:kern w:val="0"/>
          <w:sz w:val="28"/>
          <w:szCs w:val="28"/>
          <w:highlight w:val="none"/>
          <w:lang w:eastAsia="zh-CN"/>
        </w:rPr>
        <w:t>预赛规则：</w:t>
      </w:r>
    </w:p>
    <w:p>
      <w:pPr>
        <w:widowControl/>
        <w:numPr>
          <w:ilvl w:val="0"/>
          <w:numId w:val="2"/>
        </w:numPr>
        <w:ind w:firstLine="281" w:firstLineChars="100"/>
        <w:jc w:val="left"/>
        <w:rPr>
          <w:rFonts w:hint="eastAsia" w:ascii="仿宋" w:hAnsi="仿宋" w:eastAsia="仿宋" w:cs="仿宋"/>
          <w:b/>
          <w:bCs w:val="0"/>
          <w:color w:val="auto"/>
          <w:kern w:val="0"/>
          <w:sz w:val="28"/>
          <w:szCs w:val="28"/>
          <w:highlight w:val="none"/>
          <w:lang w:eastAsia="zh-CN"/>
        </w:rPr>
      </w:pPr>
      <w:r>
        <w:rPr>
          <w:rFonts w:hint="eastAsia" w:ascii="仿宋" w:hAnsi="仿宋" w:eastAsia="仿宋" w:cs="仿宋"/>
          <w:b/>
          <w:bCs w:val="0"/>
          <w:color w:val="auto"/>
          <w:sz w:val="28"/>
          <w:szCs w:val="28"/>
          <w:highlight w:val="none"/>
          <w:lang w:val="en-US" w:eastAsia="zh-CN"/>
        </w:rPr>
        <w:t>竞赛设备要求：</w:t>
      </w:r>
    </w:p>
    <w:p>
      <w:pPr>
        <w:widowControl/>
        <w:numPr>
          <w:ilvl w:val="0"/>
          <w:numId w:val="0"/>
        </w:numPr>
        <w:ind w:firstLine="560" w:firstLineChars="200"/>
        <w:jc w:val="left"/>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软件：雨课堂、腾讯会议；网络网速稳定；</w:t>
      </w:r>
    </w:p>
    <w:p>
      <w:pPr>
        <w:widowControl/>
        <w:numPr>
          <w:ilvl w:val="0"/>
          <w:numId w:val="0"/>
        </w:numPr>
        <w:ind w:firstLine="560" w:firstLineChars="200"/>
        <w:jc w:val="left"/>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硬件：摄像头（可支架固定）。预赛时，可以确保参赛选手全程均在摄像头拍摄范围内；</w:t>
      </w:r>
    </w:p>
    <w:p>
      <w:pPr>
        <w:widowControl/>
        <w:numPr>
          <w:ilvl w:val="0"/>
          <w:numId w:val="0"/>
        </w:numPr>
        <w:ind w:firstLine="560" w:firstLineChars="200"/>
        <w:jc w:val="left"/>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kern w:val="0"/>
          <w:sz w:val="28"/>
          <w:szCs w:val="28"/>
          <w:highlight w:val="none"/>
          <w:lang w:eastAsia="zh-CN"/>
        </w:rPr>
        <w:t>预赛前一天，各代表队须听从竞赛工作人员安排提前进行设备和模拟竞赛环境调试，如发现任何问题，请及时和竞赛工作人员沟通联系。</w:t>
      </w:r>
    </w:p>
    <w:p>
      <w:pPr>
        <w:widowControl/>
        <w:numPr>
          <w:ilvl w:val="0"/>
          <w:numId w:val="2"/>
        </w:numPr>
        <w:ind w:firstLine="281" w:firstLineChars="100"/>
        <w:jc w:val="left"/>
        <w:rPr>
          <w:rFonts w:hint="eastAsia" w:ascii="仿宋" w:hAnsi="仿宋" w:eastAsia="仿宋" w:cs="仿宋"/>
          <w:b/>
          <w:color w:val="auto"/>
          <w:kern w:val="0"/>
          <w:sz w:val="28"/>
          <w:szCs w:val="28"/>
          <w:highlight w:val="none"/>
          <w:lang w:eastAsia="zh-CN"/>
        </w:rPr>
      </w:pPr>
      <w:r>
        <w:rPr>
          <w:rFonts w:hint="eastAsia" w:ascii="仿宋" w:hAnsi="仿宋" w:eastAsia="仿宋" w:cs="仿宋"/>
          <w:b/>
          <w:bCs w:val="0"/>
          <w:color w:val="auto"/>
          <w:sz w:val="28"/>
          <w:szCs w:val="28"/>
          <w:highlight w:val="none"/>
          <w:lang w:val="en-US" w:eastAsia="zh-CN"/>
        </w:rPr>
        <w:t>竞赛方式：</w:t>
      </w:r>
      <w:r>
        <w:rPr>
          <w:rFonts w:hint="eastAsia" w:ascii="仿宋" w:hAnsi="仿宋" w:eastAsia="仿宋" w:cs="仿宋"/>
          <w:bCs/>
          <w:color w:val="auto"/>
          <w:sz w:val="28"/>
          <w:szCs w:val="28"/>
          <w:highlight w:val="none"/>
          <w:lang w:val="en-US" w:eastAsia="zh-CN"/>
        </w:rPr>
        <w:t>雨课堂在线限时答题，限时20分钟；</w:t>
      </w:r>
    </w:p>
    <w:p>
      <w:pPr>
        <w:widowControl/>
        <w:numPr>
          <w:ilvl w:val="0"/>
          <w:numId w:val="2"/>
        </w:numPr>
        <w:ind w:firstLine="281" w:firstLineChars="100"/>
        <w:jc w:val="left"/>
        <w:rPr>
          <w:rFonts w:hint="eastAsia" w:ascii="仿宋" w:hAnsi="仿宋" w:eastAsia="仿宋" w:cs="仿宋"/>
          <w:b/>
          <w:color w:val="auto"/>
          <w:kern w:val="0"/>
          <w:sz w:val="28"/>
          <w:szCs w:val="28"/>
          <w:highlight w:val="none"/>
          <w:lang w:eastAsia="zh-CN"/>
        </w:rPr>
      </w:pPr>
      <w:r>
        <w:rPr>
          <w:rFonts w:hint="eastAsia" w:ascii="仿宋" w:hAnsi="仿宋" w:eastAsia="仿宋" w:cs="仿宋"/>
          <w:b/>
          <w:bCs w:val="0"/>
          <w:color w:val="auto"/>
          <w:sz w:val="28"/>
          <w:szCs w:val="28"/>
          <w:highlight w:val="none"/>
          <w:lang w:val="en-US" w:eastAsia="zh-CN"/>
        </w:rPr>
        <w:t>竞赛内容：</w:t>
      </w:r>
      <w:r>
        <w:rPr>
          <w:rFonts w:hint="eastAsia" w:ascii="仿宋" w:hAnsi="仿宋" w:eastAsia="仿宋" w:cs="仿宋"/>
          <w:bCs/>
          <w:color w:val="auto"/>
          <w:sz w:val="28"/>
          <w:szCs w:val="28"/>
          <w:highlight w:val="none"/>
          <w:lang w:val="en-US" w:eastAsia="zh-CN"/>
        </w:rPr>
        <w:t>从环保知识竞赛题库（1000题）中随机抽取；</w:t>
      </w:r>
    </w:p>
    <w:p>
      <w:pPr>
        <w:widowControl/>
        <w:numPr>
          <w:ilvl w:val="0"/>
          <w:numId w:val="2"/>
        </w:numPr>
        <w:ind w:firstLine="281" w:firstLineChars="100"/>
        <w:jc w:val="left"/>
        <w:rPr>
          <w:rFonts w:hint="default"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竞赛要求：</w:t>
      </w:r>
    </w:p>
    <w:p>
      <w:pPr>
        <w:widowControl/>
        <w:numPr>
          <w:ilvl w:val="0"/>
          <w:numId w:val="0"/>
        </w:numPr>
        <w:ind w:leftChars="0" w:firstLine="560" w:firstLineChars="200"/>
        <w:jc w:val="left"/>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各高校参加队伍选派一人提前15分钟扫描二维码进入雨课堂和腾讯会议，并按照工作人员要求调试摄像设备，确保参赛选手全程均在摄像头拍摄范围内。参赛队伍未准时参加比赛，将取消比赛资格；</w:t>
      </w:r>
    </w:p>
    <w:p>
      <w:pPr>
        <w:widowControl/>
        <w:numPr>
          <w:ilvl w:val="0"/>
          <w:numId w:val="0"/>
        </w:numPr>
        <w:ind w:leftChars="0"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sz w:val="28"/>
          <w:szCs w:val="28"/>
          <w:highlight w:val="none"/>
          <w:lang w:val="en-US" w:eastAsia="zh-CN"/>
        </w:rPr>
        <w:t>竞赛过程中，进行全程录像。参赛选手不得离开摄像头拍摄范围，不得翻阅相关参考资料，不得利用其他设备（手机、电脑等）在线查阅，一经发现，将取消参赛资格；</w:t>
      </w:r>
    </w:p>
    <w:p>
      <w:pPr>
        <w:widowControl/>
        <w:numPr>
          <w:ilvl w:val="0"/>
          <w:numId w:val="0"/>
        </w:numPr>
        <w:ind w:leftChars="0" w:firstLine="281" w:firstLineChars="100"/>
        <w:jc w:val="left"/>
        <w:rPr>
          <w:rFonts w:hint="eastAsia" w:ascii="仿宋" w:hAnsi="仿宋" w:eastAsia="仿宋" w:cs="仿宋"/>
          <w:bCs/>
          <w:color w:val="auto"/>
          <w:kern w:val="0"/>
          <w:sz w:val="28"/>
          <w:szCs w:val="28"/>
          <w:highlight w:val="none"/>
        </w:rPr>
      </w:pPr>
      <w:r>
        <w:rPr>
          <w:rFonts w:hint="eastAsia" w:ascii="仿宋" w:hAnsi="仿宋" w:eastAsia="仿宋" w:cs="仿宋"/>
          <w:b/>
          <w:bCs w:val="0"/>
          <w:color w:val="auto"/>
          <w:sz w:val="28"/>
          <w:szCs w:val="28"/>
          <w:highlight w:val="none"/>
          <w:lang w:val="en-US" w:eastAsia="zh-CN"/>
        </w:rPr>
        <w:t>（5）竞赛结果：</w:t>
      </w:r>
      <w:r>
        <w:rPr>
          <w:rFonts w:hint="eastAsia" w:ascii="仿宋" w:hAnsi="仿宋" w:eastAsia="仿宋" w:cs="仿宋"/>
          <w:bCs/>
          <w:color w:val="auto"/>
          <w:sz w:val="28"/>
          <w:szCs w:val="28"/>
          <w:highlight w:val="none"/>
          <w:lang w:val="en-US" w:eastAsia="zh-CN"/>
        </w:rPr>
        <w:t>预赛结束后，根据雨课堂的答题成绩，由高到低进行排列，成绩前10位的代表队入围现场决赛。如果出现成绩相等并列情况，将组织成绩并列的代表队进行附加赛环节，</w:t>
      </w:r>
      <w:r>
        <w:rPr>
          <w:rFonts w:hint="eastAsia" w:ascii="仿宋" w:hAnsi="仿宋" w:eastAsia="仿宋" w:cs="仿宋"/>
          <w:bCs/>
          <w:color w:val="auto"/>
          <w:kern w:val="0"/>
          <w:sz w:val="28"/>
          <w:szCs w:val="28"/>
          <w:highlight w:val="none"/>
        </w:rPr>
        <w:t>直到</w:t>
      </w:r>
      <w:r>
        <w:rPr>
          <w:rFonts w:hint="eastAsia" w:ascii="仿宋" w:hAnsi="仿宋" w:eastAsia="仿宋" w:cs="仿宋"/>
          <w:bCs/>
          <w:color w:val="auto"/>
          <w:kern w:val="0"/>
          <w:sz w:val="28"/>
          <w:szCs w:val="28"/>
          <w:highlight w:val="none"/>
          <w:lang w:eastAsia="zh-CN"/>
        </w:rPr>
        <w:t>最终确定决赛名单</w:t>
      </w:r>
      <w:r>
        <w:rPr>
          <w:rFonts w:hint="eastAsia" w:ascii="仿宋" w:hAnsi="仿宋" w:eastAsia="仿宋" w:cs="仿宋"/>
          <w:bCs/>
          <w:color w:val="auto"/>
          <w:kern w:val="0"/>
          <w:sz w:val="28"/>
          <w:szCs w:val="28"/>
          <w:highlight w:val="none"/>
        </w:rPr>
        <w:t>为止。</w:t>
      </w:r>
    </w:p>
    <w:p>
      <w:pPr>
        <w:widowControl/>
        <w:numPr>
          <w:ilvl w:val="0"/>
          <w:numId w:val="0"/>
        </w:numPr>
        <w:jc w:val="left"/>
        <w:rPr>
          <w:rFonts w:hint="eastAsia" w:ascii="仿宋" w:hAnsi="仿宋" w:eastAsia="仿宋" w:cs="仿宋"/>
          <w:b/>
          <w:bCs w:val="0"/>
          <w:color w:val="auto"/>
          <w:kern w:val="0"/>
          <w:sz w:val="28"/>
          <w:szCs w:val="28"/>
          <w:highlight w:val="none"/>
          <w:lang w:val="en-US" w:eastAsia="zh-CN"/>
        </w:rPr>
      </w:pPr>
      <w:r>
        <w:rPr>
          <w:rFonts w:hint="eastAsia" w:ascii="仿宋" w:hAnsi="仿宋" w:eastAsia="仿宋" w:cs="仿宋"/>
          <w:b/>
          <w:bCs w:val="0"/>
          <w:color w:val="auto"/>
          <w:sz w:val="28"/>
          <w:szCs w:val="28"/>
          <w:highlight w:val="none"/>
          <w:lang w:val="en-US" w:eastAsia="zh-CN"/>
        </w:rPr>
        <w:t>2.2 决赛规则：</w:t>
      </w:r>
    </w:p>
    <w:p>
      <w:pPr>
        <w:ind w:firstLine="560" w:firstLineChars="200"/>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（1）组委会聘请知识渊博、熟知竞赛规则的专家组成仲裁组。主持人无法评判时由仲裁组评判，主持人评判有误时，仲裁组可予以更正。</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（2）各代表队在比赛开始前10分钟通过抽签确定队次，比赛选手一经坐定顺序不得更改，即观众左侧为1号选手，右侧为3号选手。</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（3）各代表队基准分为100分，在此基础上通过竞赛增减，比赛结束依据各队得分高低排定名次。</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（4）选手答题须起立作答，答题完毕后须回复"答题完毕"，在规定时间之外回答的内容无效。</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【1】个人必答题规则：</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个人必答题分3轮，每轮6题，共18题；每题10分，答对加10分，答错不扣分。</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第一轮由各代表队的第一号选手首先回答，第二轮由各代表队第二号选手回答，第三轮由各代表队第三号选手回答，即第一轮的1-6号题由1-6号代表队的1号选手回答，第二轮的1-6号题由1-6号代表队的2号选手回答，第三轮的1-6号题由1-6号代表队的3号选手回答，其它队员不得代为作答或提示，否则不得分。</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选手答题时间不得超过30秒，违者视作答</w:t>
      </w:r>
      <w:r>
        <w:rPr>
          <w:rFonts w:hint="eastAsia" w:ascii="仿宋" w:hAnsi="仿宋" w:eastAsia="仿宋" w:cs="仿宋"/>
          <w:bCs/>
          <w:color w:val="auto"/>
          <w:kern w:val="0"/>
          <w:sz w:val="28"/>
          <w:szCs w:val="28"/>
          <w:highlight w:val="none"/>
          <w:lang w:val="en-US" w:eastAsia="zh-CN"/>
        </w:rPr>
        <w:t>错误</w:t>
      </w:r>
      <w:r>
        <w:rPr>
          <w:rFonts w:hint="eastAsia" w:ascii="仿宋" w:hAnsi="仿宋" w:eastAsia="仿宋" w:cs="仿宋"/>
          <w:bCs/>
          <w:color w:val="auto"/>
          <w:kern w:val="0"/>
          <w:sz w:val="28"/>
          <w:szCs w:val="28"/>
          <w:highlight w:val="none"/>
        </w:rPr>
        <w:t>。</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【2】小组必答题规则：</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小组必答题分二轮，每轮6题，共12题，每题10分，答对加10分，答错不扣分。</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每轮的1-6号题分别由1-6号代表队作答，答题时选手可以相互讨论，由一名队员起立作答，其它人可以在规定时间内补充。</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每题答题时间不超过30秒。</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【3】抢答题规则：</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抢答题共21题，每题10分，答对加10分，答错扣10分。</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主持人念完题说开始后，各代表队方可抢答，否则视为犯规，扣代表队10分，答错扣10分；或者代表队在主持人念题过程中抢答，但必须先补充完题目，再正确作答，回答方可视为正确有效。</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抢答题答题时间不得超过30秒，违者视作答错，扣代表队10分。</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【4】风险题规则</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风险题分为10分、20分、30分三类，各代表队可视自身积分自由选题或弃选。</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 xml:space="preserve">各代表队按1-6号顺序统一在风险题比赛开始前选题，题目一经选定便不得更改，已选过的风险题后选的代表队不得重选，答对加相应分数，答错扣相应分数。 </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代表队内部可在相互讨论后，选派一名选手起立作答，其他选手亦可在规定时间内补充，答完题应说"回答完毕"后方可坐下。</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10分、20分、30分风险题各代表队讨论和答题时间分别不得超过30秒、60秒、90秒，违者视作答错。</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【5】附加赛规则：</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风险题比赛结束后，如果有两支以上代表队积分相等而影响获奖等次评定时，积分相等的代表队进行附加赛。</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附加赛题型为抢答题，规则同前。</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若两队进行附加赛，加赛3题；若三队进行附加赛，加赛5题；若四队进行附加赛，加赛7题；依此类推，直到决出名次为止。</w:t>
      </w:r>
    </w:p>
    <w:p>
      <w:pPr>
        <w:widowControl/>
        <w:jc w:val="left"/>
        <w:rPr>
          <w:rFonts w:hint="eastAsia" w:ascii="仿宋" w:hAnsi="仿宋" w:eastAsia="仿宋" w:cs="仿宋"/>
          <w:b/>
          <w:color w:val="auto"/>
          <w:kern w:val="0"/>
          <w:sz w:val="28"/>
          <w:szCs w:val="28"/>
          <w:highlight w:val="none"/>
        </w:rPr>
      </w:pPr>
    </w:p>
    <w:p>
      <w:pPr>
        <w:widowControl/>
        <w:jc w:val="left"/>
        <w:rPr>
          <w:rFonts w:hint="eastAsia" w:ascii="仿宋" w:hAnsi="仿宋" w:eastAsia="仿宋" w:cs="仿宋"/>
          <w:b/>
          <w:color w:val="auto"/>
          <w:kern w:val="0"/>
          <w:sz w:val="28"/>
          <w:szCs w:val="28"/>
          <w:highlight w:val="none"/>
        </w:rPr>
      </w:pPr>
    </w:p>
    <w:p>
      <w:pPr>
        <w:widowControl/>
        <w:jc w:val="left"/>
        <w:rPr>
          <w:rFonts w:hint="eastAsia" w:ascii="仿宋" w:hAnsi="仿宋" w:eastAsia="仿宋" w:cs="仿宋"/>
          <w:b/>
          <w:color w:val="auto"/>
          <w:kern w:val="0"/>
          <w:sz w:val="28"/>
          <w:szCs w:val="28"/>
          <w:highlight w:val="none"/>
        </w:rPr>
      </w:pPr>
    </w:p>
    <w:p>
      <w:pPr>
        <w:widowControl/>
        <w:jc w:val="left"/>
        <w:rPr>
          <w:rFonts w:hint="eastAsia" w:ascii="仿宋" w:hAnsi="仿宋" w:eastAsia="仿宋" w:cs="仿宋"/>
          <w:b/>
          <w:color w:val="auto"/>
          <w:kern w:val="0"/>
          <w:sz w:val="28"/>
          <w:szCs w:val="28"/>
          <w:highlight w:val="none"/>
        </w:rPr>
      </w:pPr>
    </w:p>
    <w:p>
      <w:pPr>
        <w:widowControl/>
        <w:jc w:val="left"/>
        <w:rPr>
          <w:rFonts w:hint="eastAsia" w:ascii="仿宋" w:hAnsi="仿宋" w:eastAsia="仿宋" w:cs="仿宋"/>
          <w:b/>
          <w:color w:val="auto"/>
          <w:kern w:val="0"/>
          <w:sz w:val="28"/>
          <w:szCs w:val="28"/>
          <w:highlight w:val="none"/>
        </w:rPr>
      </w:pPr>
    </w:p>
    <w:p>
      <w:pPr>
        <w:widowControl/>
        <w:jc w:val="left"/>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二、相关要求</w:t>
      </w:r>
    </w:p>
    <w:p>
      <w:pPr>
        <w:widowControl/>
        <w:jc w:val="left"/>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1、毕业设计（论文）参评内容要求</w:t>
      </w:r>
    </w:p>
    <w:p>
      <w:pPr>
        <w:widowControl/>
        <w:ind w:firstLine="562" w:firstLineChars="200"/>
        <w:jc w:val="left"/>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毕业设计：</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（1）毕业设计应有指导教师编写的、系（教研室）审定的毕业设计任务书和指导书，应包括设计题目、设计任务、相关材料、要求、进度安排等内容。</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（2）应符合现行国家及地方标准和格式的规定要求，并符合国家方针、政策。</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（3）应采取国家法定的计量单位。</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（4）对设计说明书的要求</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①设计说明书要有目录，中外文摘要、正文及参考文献等内容。</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②内容系统完整、计算正确。</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③设计方案（含主要单元及设备）的选择。</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④设计计算（鼓励采用先进技术和独到创新的设计方法）。</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⑤书写规范，文字通顺，语言简练，条理清晰。</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（5）对设计图纸的要求</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图纸种类包含计算机图、墨线图和铅笔图，图纸符合制图标准要求，图面清晰、布置紧凑、比例适当、视图投影正确，尺寸、数字、符号、图例无错无漏、文字工整规范、叙述通顺、内容简明。</w:t>
      </w:r>
    </w:p>
    <w:p>
      <w:pPr>
        <w:widowControl/>
        <w:ind w:firstLine="562" w:firstLineChars="200"/>
        <w:jc w:val="left"/>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毕业论文：</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（1）毕业论文应有指导教师编写的、系（教研室）审定的毕业论文任务书，应包括论文研究目标、任务、内容、要求、进度安排等。</w:t>
      </w:r>
    </w:p>
    <w:p>
      <w:pPr>
        <w:widowControl/>
        <w:ind w:firstLine="560" w:firstLineChars="200"/>
        <w:jc w:val="left"/>
        <w:rPr>
          <w:rFonts w:hint="eastAsia" w:ascii="仿宋" w:hAnsi="仿宋" w:eastAsia="仿宋" w:cs="仿宋"/>
          <w:bCs/>
          <w:color w:val="auto"/>
          <w:kern w:val="0"/>
          <w:sz w:val="28"/>
          <w:szCs w:val="28"/>
          <w:highlight w:val="none"/>
          <w:lang w:eastAsia="zh-CN"/>
        </w:rPr>
      </w:pPr>
      <w:r>
        <w:rPr>
          <w:rFonts w:hint="eastAsia" w:ascii="仿宋" w:hAnsi="仿宋" w:eastAsia="仿宋" w:cs="仿宋"/>
          <w:bCs/>
          <w:color w:val="auto"/>
          <w:kern w:val="0"/>
          <w:sz w:val="28"/>
          <w:szCs w:val="28"/>
          <w:highlight w:val="none"/>
        </w:rPr>
        <w:t>（2）论文应采用国家法定的计量单位，符合国家方针、政策，符合科研论文要求</w:t>
      </w:r>
      <w:r>
        <w:rPr>
          <w:rFonts w:hint="eastAsia" w:ascii="仿宋" w:hAnsi="仿宋" w:eastAsia="仿宋" w:cs="仿宋"/>
          <w:bCs/>
          <w:color w:val="auto"/>
          <w:kern w:val="0"/>
          <w:sz w:val="28"/>
          <w:szCs w:val="28"/>
          <w:highlight w:val="none"/>
          <w:lang w:eastAsia="zh-CN"/>
        </w:rPr>
        <w:t>。</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（3）论文要有目录、中外文摘要、关键词，正文，结论、参考文献，附录等内容。</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（4）论文内容观点正确，中心突出，层次分明，论述清楚，论点明确，论据充分，结构严谨，结论明确。</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（5）论文写作规范，语言文字表达通顺规范，条理清晰。</w:t>
      </w:r>
    </w:p>
    <w:p>
      <w:pPr>
        <w:widowControl/>
        <w:ind w:firstLine="562" w:firstLineChars="200"/>
        <w:jc w:val="left"/>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材料提交要求：</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（1）提交PDF版各校规定格式的毕业设计或毕业论文，毕业论文由word版本直接生成，毕业设计手绘图纸扫描后上传，单份作品不超过20M，不接受其他形式；</w:t>
      </w:r>
    </w:p>
    <w:p>
      <w:pPr>
        <w:widowControl/>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（2）提交不超过1000字的摘要（PDF版），仅含题目和内容信息。</w:t>
      </w:r>
    </w:p>
    <w:p>
      <w:pPr>
        <w:widowControl/>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2、</w:t>
      </w:r>
      <w:r>
        <w:rPr>
          <w:rFonts w:hint="eastAsia" w:ascii="仿宋" w:hAnsi="仿宋" w:eastAsia="仿宋" w:cs="仿宋"/>
          <w:b/>
          <w:color w:val="auto"/>
          <w:kern w:val="0"/>
          <w:sz w:val="28"/>
          <w:szCs w:val="28"/>
          <w:highlight w:val="none"/>
        </w:rPr>
        <w:t>调研报告</w:t>
      </w:r>
    </w:p>
    <w:p>
      <w:pPr>
        <w:widowControl/>
        <w:ind w:firstLine="560" w:firstLineChars="200"/>
        <w:jc w:val="left"/>
        <w:rPr>
          <w:rFonts w:hint="eastAsia" w:ascii="仿宋" w:hAnsi="仿宋" w:eastAsia="仿宋" w:cs="仿宋"/>
          <w:bCs/>
          <w:color w:val="auto"/>
          <w:kern w:val="0"/>
          <w:sz w:val="28"/>
          <w:szCs w:val="28"/>
          <w:highlight w:val="none"/>
          <w:lang w:eastAsia="zh-CN"/>
        </w:rPr>
      </w:pPr>
      <w:r>
        <w:rPr>
          <w:rFonts w:hint="eastAsia" w:ascii="仿宋" w:hAnsi="仿宋" w:eastAsia="仿宋" w:cs="仿宋"/>
          <w:bCs/>
          <w:color w:val="auto"/>
          <w:kern w:val="0"/>
          <w:sz w:val="28"/>
          <w:szCs w:val="28"/>
          <w:highlight w:val="none"/>
          <w:lang w:eastAsia="zh-CN"/>
        </w:rPr>
        <w:t>报告书写格式参考</w:t>
      </w:r>
      <w:r>
        <w:rPr>
          <w:rFonts w:hint="eastAsia" w:ascii="仿宋" w:hAnsi="仿宋" w:eastAsia="仿宋" w:cs="仿宋"/>
          <w:bCs/>
          <w:color w:val="auto"/>
          <w:kern w:val="0"/>
          <w:sz w:val="28"/>
          <w:szCs w:val="28"/>
          <w:highlight w:val="none"/>
        </w:rPr>
        <w:t>毕业设计（论文）参评内容要求</w:t>
      </w:r>
      <w:r>
        <w:rPr>
          <w:rFonts w:hint="eastAsia" w:ascii="仿宋" w:hAnsi="仿宋" w:eastAsia="仿宋" w:cs="仿宋"/>
          <w:bCs/>
          <w:color w:val="auto"/>
          <w:kern w:val="0"/>
          <w:sz w:val="28"/>
          <w:szCs w:val="28"/>
          <w:highlight w:val="none"/>
          <w:lang w:eastAsia="zh-CN"/>
        </w:rPr>
        <w:t>。</w:t>
      </w:r>
    </w:p>
    <w:p>
      <w:pPr>
        <w:widowControl/>
        <w:jc w:val="left"/>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3</w:t>
      </w:r>
      <w:r>
        <w:rPr>
          <w:rFonts w:hint="eastAsia" w:ascii="仿宋" w:hAnsi="仿宋" w:eastAsia="仿宋" w:cs="仿宋"/>
          <w:b/>
          <w:color w:val="auto"/>
          <w:kern w:val="0"/>
          <w:sz w:val="28"/>
          <w:szCs w:val="28"/>
          <w:highlight w:val="none"/>
        </w:rPr>
        <w:t>、创业计划书要求</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参赛者的参赛项目必须是一项具有良好市场前景的技术产品、发明或服务（包括概念产品或服务）。其来源可以有三种途径：（1）参赛团队成员自己的或参与的科技发明创造、技术；（2）高校、科研机构研发的技术产品或服务；（3）国家专利机构发布的专利技术产品。以后两者为参赛项目的参赛团队必须向组委会提交具有法律效力的发明创造或专利技术所有人的书面授权许可、作品鉴定证书、专利证书等材料。</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完整的创业计划书包括概要、项目背景、公司描述、产品与服务、市场分析、竞争分析、营销策略及销售、财务分析，可行性分析，投资前景等，并注意计划的实用性和可实现性。</w:t>
      </w:r>
    </w:p>
    <w:p>
      <w:pPr>
        <w:widowControl/>
        <w:ind w:firstLine="560" w:firstLineChars="2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对于经授权的发明创造、专利或专有技术，申报时需提交具有法律效力的发明创造、专利或专有技术所有人的书面授权许可、项目鉴定证书、专利证书等复印件。</w:t>
      </w:r>
    </w:p>
    <w:p>
      <w:pPr>
        <w:widowControl/>
        <w:spacing w:line="560" w:lineRule="atLeast"/>
        <w:ind w:firstLine="420" w:firstLineChars="200"/>
        <w:jc w:val="left"/>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10004"/>
    <w:rsid w:val="21DE41EA"/>
    <w:rsid w:val="2BC729BC"/>
    <w:rsid w:val="30931FE0"/>
    <w:rsid w:val="5D4079E7"/>
    <w:rsid w:val="64C60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2707</Words>
  <Characters>2779</Characters>
  <Paragraphs>83</Paragraphs>
  <TotalTime>14</TotalTime>
  <ScaleCrop>false</ScaleCrop>
  <LinksUpToDate>false</LinksUpToDate>
  <CharactersWithSpaces>2782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2021-04-09T02:29:00Z</dcterms:created>
  <dc:creator>王 世荣</dc:creator>
  <cp:lastModifiedBy>三叶</cp:lastModifiedBy>
  <dcterms:modified xsi:type="dcterms:W3CDTF">2021-04-13T06:35:26Z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7904584DCE8A4391B062E51C554B80B7</vt:lpwstr>
  </property>
  <property fmtid="{D5CDD505-2E9C-101B-9397-08002B2CF9AE}" pid="4" name="KSORubyTemplateID" linkTarget="0">
    <vt:lpwstr>6</vt:lpwstr>
  </property>
</Properties>
</file>